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0" w:type="dxa"/>
        <w:tblInd w:w="-58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043"/>
        <w:gridCol w:w="8667"/>
      </w:tblGrid>
      <w:tr w:rsidR="00805B35" w:rsidRPr="001C66B8" w14:paraId="41E59D46" w14:textId="77777777" w:rsidTr="001E6EAA">
        <w:trPr>
          <w:cantSplit/>
          <w:trHeight w:val="1080"/>
        </w:trPr>
        <w:tc>
          <w:tcPr>
            <w:tcW w:w="2043" w:type="dxa"/>
            <w:shd w:val="clear" w:color="auto" w:fill="FFFFFF"/>
            <w:vAlign w:val="center"/>
          </w:tcPr>
          <w:p w14:paraId="40786F92" w14:textId="77777777" w:rsidR="00805B35" w:rsidRPr="001C66B8" w:rsidRDefault="00805B35" w:rsidP="00F96229">
            <w:pPr>
              <w:jc w:val="center"/>
              <w:rPr>
                <w:rFonts w:cs="Arial"/>
                <w:b/>
                <w:color w:val="FF0000"/>
                <w:sz w:val="22"/>
                <w:szCs w:val="22"/>
              </w:rPr>
            </w:pPr>
            <w:r w:rsidRPr="001C66B8">
              <w:rPr>
                <w:rFonts w:cs="Arial"/>
                <w:noProof/>
                <w:sz w:val="22"/>
                <w:szCs w:val="22"/>
              </w:rPr>
              <w:drawing>
                <wp:inline distT="0" distB="0" distL="0" distR="0" wp14:anchorId="20CF528F" wp14:editId="121D9B54">
                  <wp:extent cx="622300" cy="457200"/>
                  <wp:effectExtent l="0" t="0" r="6350" b="0"/>
                  <wp:docPr id="2076410735" name="Picture 2076410735"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300" cy="457200"/>
                          </a:xfrm>
                          <a:prstGeom prst="rect">
                            <a:avLst/>
                          </a:prstGeom>
                          <a:noFill/>
                          <a:ln>
                            <a:noFill/>
                          </a:ln>
                        </pic:spPr>
                      </pic:pic>
                    </a:graphicData>
                  </a:graphic>
                </wp:inline>
              </w:drawing>
            </w:r>
          </w:p>
        </w:tc>
        <w:tc>
          <w:tcPr>
            <w:tcW w:w="8667" w:type="dxa"/>
            <w:shd w:val="clear" w:color="auto" w:fill="FFFFFF"/>
          </w:tcPr>
          <w:p w14:paraId="675CFDB1" w14:textId="77777777" w:rsidR="00805B35" w:rsidRPr="001C66B8" w:rsidRDefault="00805B35" w:rsidP="00F96229">
            <w:pPr>
              <w:jc w:val="center"/>
              <w:rPr>
                <w:rFonts w:cs="Arial"/>
                <w:b/>
                <w:sz w:val="22"/>
                <w:szCs w:val="22"/>
              </w:rPr>
            </w:pPr>
            <w:r w:rsidRPr="001C66B8">
              <w:rPr>
                <w:rFonts w:cs="Arial"/>
                <w:b/>
                <w:sz w:val="22"/>
                <w:szCs w:val="22"/>
              </w:rPr>
              <w:t>UNITED NATIONS CHILDREN’S FUND</w:t>
            </w:r>
          </w:p>
          <w:p w14:paraId="65993726" w14:textId="3B9632E5" w:rsidR="00805B35" w:rsidRPr="001C66B8" w:rsidRDefault="00805B35" w:rsidP="00F96229">
            <w:pPr>
              <w:tabs>
                <w:tab w:val="left" w:pos="3390"/>
              </w:tabs>
              <w:rPr>
                <w:rFonts w:cs="Arial"/>
                <w:sz w:val="22"/>
                <w:szCs w:val="22"/>
              </w:rPr>
            </w:pPr>
            <w:r>
              <w:rPr>
                <w:b/>
                <w:bCs/>
              </w:rPr>
              <w:t xml:space="preserve">                                                         </w:t>
            </w:r>
            <w:r w:rsidRPr="00EE5B14">
              <w:rPr>
                <w:b/>
                <w:bCs/>
              </w:rPr>
              <w:t>Terms of Reference (</w:t>
            </w:r>
            <w:proofErr w:type="spellStart"/>
            <w:r w:rsidRPr="00EE5B14">
              <w:rPr>
                <w:b/>
                <w:bCs/>
              </w:rPr>
              <w:t>ToR</w:t>
            </w:r>
            <w:proofErr w:type="spellEnd"/>
            <w:r w:rsidRPr="00EE5B14">
              <w:rPr>
                <w:b/>
                <w:bCs/>
              </w:rPr>
              <w:t>)</w:t>
            </w:r>
            <w:r w:rsidRPr="00EE5B14">
              <w:br/>
            </w:r>
            <w:r>
              <w:rPr>
                <w:rFonts w:cs="Arial"/>
                <w:sz w:val="22"/>
                <w:szCs w:val="22"/>
              </w:rPr>
              <w:tab/>
            </w:r>
          </w:p>
        </w:tc>
      </w:tr>
    </w:tbl>
    <w:p w14:paraId="40291C4D" w14:textId="36C1AFD8" w:rsidR="00805B35" w:rsidRDefault="00805B35" w:rsidP="00EE5B14">
      <w:pPr>
        <w:rPr>
          <w:b/>
          <w:bCs/>
        </w:rPr>
      </w:pPr>
    </w:p>
    <w:tbl>
      <w:tblPr>
        <w:tblStyle w:val="TableGrid"/>
        <w:tblW w:w="10800" w:type="dxa"/>
        <w:tblInd w:w="-545" w:type="dxa"/>
        <w:tblLook w:val="04A0" w:firstRow="1" w:lastRow="0" w:firstColumn="1" w:lastColumn="0" w:noHBand="0" w:noVBand="1"/>
      </w:tblPr>
      <w:tblGrid>
        <w:gridCol w:w="10800"/>
      </w:tblGrid>
      <w:tr w:rsidR="00805B35" w14:paraId="19D5AB6D" w14:textId="77777777" w:rsidTr="001E6EAA">
        <w:tc>
          <w:tcPr>
            <w:tcW w:w="10800" w:type="dxa"/>
            <w:shd w:val="clear" w:color="auto" w:fill="D9D9D9" w:themeFill="background1" w:themeFillShade="D9"/>
          </w:tcPr>
          <w:p w14:paraId="3BADE923" w14:textId="1CF6BD9F" w:rsidR="00805B35" w:rsidRPr="00805B35" w:rsidRDefault="00805B35" w:rsidP="00805B35">
            <w:pPr>
              <w:rPr>
                <w:b/>
                <w:bCs/>
              </w:rPr>
            </w:pPr>
            <w:proofErr w:type="spellStart"/>
            <w:r>
              <w:rPr>
                <w:b/>
                <w:bCs/>
              </w:rPr>
              <w:t>I.</w:t>
            </w:r>
            <w:r w:rsidRPr="00805B35">
              <w:rPr>
                <w:b/>
                <w:bCs/>
              </w:rPr>
              <w:t>Post</w:t>
            </w:r>
            <w:proofErr w:type="spellEnd"/>
            <w:r w:rsidRPr="00805B35">
              <w:rPr>
                <w:b/>
                <w:bCs/>
              </w:rPr>
              <w:t xml:space="preserve"> Information </w:t>
            </w:r>
          </w:p>
        </w:tc>
      </w:tr>
      <w:tr w:rsidR="00805B35" w14:paraId="5FFA1DD3" w14:textId="77777777" w:rsidTr="001E6EAA">
        <w:tc>
          <w:tcPr>
            <w:tcW w:w="10800" w:type="dxa"/>
          </w:tcPr>
          <w:p w14:paraId="55D0F61C" w14:textId="77777777" w:rsidR="00805B35" w:rsidRPr="00EE5B14" w:rsidRDefault="00805B35" w:rsidP="00805B35">
            <w:pPr>
              <w:spacing w:after="160" w:line="278" w:lineRule="auto"/>
            </w:pPr>
            <w:r w:rsidRPr="00EE5B14">
              <w:rPr>
                <w:b/>
                <w:bCs/>
              </w:rPr>
              <w:t>Position Title:</w:t>
            </w:r>
            <w:r w:rsidRPr="00EE5B14">
              <w:t xml:space="preserve"> Public Health Intern –Cholera Outbreak Response</w:t>
            </w:r>
            <w:r w:rsidRPr="00EE5B14">
              <w:br/>
            </w:r>
            <w:r w:rsidRPr="00EE5B14">
              <w:rPr>
                <w:b/>
                <w:bCs/>
              </w:rPr>
              <w:t>Location:</w:t>
            </w:r>
            <w:r w:rsidRPr="00EE5B14">
              <w:t xml:space="preserve"> </w:t>
            </w:r>
            <w:r>
              <w:t xml:space="preserve">Addis Ababa, Ethiopia </w:t>
            </w:r>
            <w:r w:rsidRPr="00EE5B14">
              <w:br/>
            </w:r>
            <w:r w:rsidRPr="00EE5B14">
              <w:rPr>
                <w:b/>
                <w:bCs/>
              </w:rPr>
              <w:t>Duration:</w:t>
            </w:r>
            <w:r w:rsidRPr="00EE5B14">
              <w:t xml:space="preserve"> </w:t>
            </w:r>
            <w:r>
              <w:t>6</w:t>
            </w:r>
            <w:r w:rsidRPr="00EE5B14">
              <w:t xml:space="preserve"> months</w:t>
            </w:r>
            <w:r w:rsidRPr="00EE5B14">
              <w:br/>
            </w:r>
            <w:r w:rsidRPr="00EE5B14">
              <w:rPr>
                <w:b/>
                <w:bCs/>
              </w:rPr>
              <w:t>Start Date:</w:t>
            </w:r>
            <w:r w:rsidRPr="00EE5B14">
              <w:t xml:space="preserve"> </w:t>
            </w:r>
            <w:r>
              <w:t>01 September 2025</w:t>
            </w:r>
            <w:r w:rsidRPr="00EE5B14">
              <w:br/>
            </w:r>
            <w:r w:rsidRPr="00EE5B14">
              <w:rPr>
                <w:b/>
                <w:bCs/>
              </w:rPr>
              <w:t>Supervisor:</w:t>
            </w:r>
            <w:r w:rsidRPr="00EE5B14">
              <w:t xml:space="preserve"> </w:t>
            </w:r>
            <w:r>
              <w:t>Emergency Manager</w:t>
            </w:r>
            <w:r w:rsidRPr="00EE5B14">
              <w:br/>
            </w:r>
            <w:r w:rsidRPr="00EE5B14">
              <w:rPr>
                <w:b/>
                <w:bCs/>
              </w:rPr>
              <w:t>Host Organization:</w:t>
            </w:r>
            <w:r w:rsidRPr="00EE5B14">
              <w:t xml:space="preserve"> </w:t>
            </w:r>
            <w:r>
              <w:t>UNICEF</w:t>
            </w:r>
          </w:p>
          <w:p w14:paraId="351E218E" w14:textId="77777777" w:rsidR="00805B35" w:rsidRDefault="00805B35" w:rsidP="00EE5B14">
            <w:pPr>
              <w:rPr>
                <w:b/>
                <w:bCs/>
              </w:rPr>
            </w:pPr>
          </w:p>
        </w:tc>
      </w:tr>
      <w:tr w:rsidR="00805B35" w14:paraId="600E9FEB" w14:textId="77777777" w:rsidTr="001E6EAA">
        <w:trPr>
          <w:trHeight w:val="494"/>
        </w:trPr>
        <w:tc>
          <w:tcPr>
            <w:tcW w:w="10800" w:type="dxa"/>
          </w:tcPr>
          <w:p w14:paraId="05D1E36E" w14:textId="65DA4CB1" w:rsidR="00805B35" w:rsidRPr="00EE5B14" w:rsidRDefault="00805B35" w:rsidP="00805B35">
            <w:pPr>
              <w:spacing w:after="160" w:line="278" w:lineRule="auto"/>
              <w:rPr>
                <w:b/>
                <w:bCs/>
              </w:rPr>
            </w:pPr>
            <w:r>
              <w:rPr>
                <w:b/>
                <w:bCs/>
              </w:rPr>
              <w:t>II.</w:t>
            </w:r>
            <w:r w:rsidRPr="00EE5B14">
              <w:rPr>
                <w:b/>
                <w:bCs/>
              </w:rPr>
              <w:t xml:space="preserve"> </w:t>
            </w:r>
            <w:r w:rsidRPr="00EE5B14">
              <w:rPr>
                <w:b/>
                <w:bCs/>
              </w:rPr>
              <w:t>Background</w:t>
            </w:r>
          </w:p>
        </w:tc>
      </w:tr>
      <w:tr w:rsidR="00805B35" w14:paraId="77DEBA25" w14:textId="77777777" w:rsidTr="001E6EAA">
        <w:tc>
          <w:tcPr>
            <w:tcW w:w="10800" w:type="dxa"/>
          </w:tcPr>
          <w:p w14:paraId="1F141B07" w14:textId="77777777" w:rsidR="001E6EAA" w:rsidRDefault="001E6EAA" w:rsidP="001E6EAA">
            <w:pPr>
              <w:jc w:val="both"/>
            </w:pPr>
            <w:r>
              <w:t xml:space="preserve">Ethiopia continues to face recurrent public health emergencies driven by a combination of conflict, climate-related shocks, population displacements, and fragile health systems. Cholera, measles, malaria, and other communicable diseases remain prevalent, particularly in regions with limited access to clean water, essential health services, and proper sanitation infrastructure. </w:t>
            </w:r>
          </w:p>
          <w:p w14:paraId="615D92EA" w14:textId="799B9E97" w:rsidR="001E6EAA" w:rsidRDefault="001E6EAA" w:rsidP="001E6EAA">
            <w:pPr>
              <w:jc w:val="both"/>
            </w:pPr>
            <w:r>
              <w:t>Since January 2025, a total of 4,309 cholera cases and 42 deaths (CFR 1.01</w:t>
            </w:r>
            <w:r w:rsidR="00304800">
              <w:t>%) were</w:t>
            </w:r>
            <w:r>
              <w:t xml:space="preserve"> reported throughout the country with 50 per cent cases and 76 per cent of deaths reported from Gambella region. </w:t>
            </w:r>
          </w:p>
          <w:p w14:paraId="75D7EE52" w14:textId="5DD9FDC3" w:rsidR="00805B35" w:rsidRPr="00EE5B14" w:rsidRDefault="001E6EAA" w:rsidP="001E6EAA">
            <w:pPr>
              <w:tabs>
                <w:tab w:val="left" w:pos="3280"/>
              </w:tabs>
              <w:jc w:val="both"/>
              <w:rPr>
                <w:b/>
                <w:bCs/>
              </w:rPr>
            </w:pPr>
            <w:r>
              <w:t>The risk of outbreaks is further heightened in displacement sites, where overcrowding and poor hygiene conditions persist. Strengthening preparedness and response capacities remains critical to mitigating the impact of such emergencies and protecting vulnerable populations.</w:t>
            </w:r>
          </w:p>
        </w:tc>
      </w:tr>
      <w:tr w:rsidR="00805B35" w14:paraId="3E5AAAF5" w14:textId="77777777" w:rsidTr="001E6EAA">
        <w:tc>
          <w:tcPr>
            <w:tcW w:w="10800" w:type="dxa"/>
          </w:tcPr>
          <w:p w14:paraId="032505C3" w14:textId="37069767" w:rsidR="00805B35" w:rsidRPr="001E6EAA" w:rsidRDefault="00805B35" w:rsidP="001E6EAA">
            <w:pPr>
              <w:spacing w:after="160" w:line="278" w:lineRule="auto"/>
              <w:rPr>
                <w:b/>
                <w:bCs/>
              </w:rPr>
            </w:pPr>
            <w:r>
              <w:t>III.</w:t>
            </w:r>
            <w:r w:rsidRPr="00EE5B14">
              <w:rPr>
                <w:b/>
                <w:bCs/>
              </w:rPr>
              <w:t xml:space="preserve"> </w:t>
            </w:r>
            <w:r w:rsidRPr="00EE5B14">
              <w:rPr>
                <w:b/>
                <w:bCs/>
              </w:rPr>
              <w:t>Objective</w:t>
            </w:r>
          </w:p>
        </w:tc>
      </w:tr>
      <w:tr w:rsidR="00805B35" w14:paraId="2306ECCE" w14:textId="77777777" w:rsidTr="001E6EAA">
        <w:tc>
          <w:tcPr>
            <w:tcW w:w="10800" w:type="dxa"/>
          </w:tcPr>
          <w:p w14:paraId="6CDA0BFB" w14:textId="15D1CB80" w:rsidR="006F7385" w:rsidRDefault="001E6EAA" w:rsidP="001E6EAA">
            <w:r>
              <w:t xml:space="preserve"> The</w:t>
            </w:r>
            <w:r w:rsidR="006F7385">
              <w:t xml:space="preserve"> primary purpose of this position is to enhance public health-related emergency response efforts in collaboration with other sections, helping UNICEF and its partners anticipate, prepare for, and respond to </w:t>
            </w:r>
            <w:r>
              <w:t>outbreaks</w:t>
            </w:r>
            <w:r w:rsidR="006F7385">
              <w:t>.</w:t>
            </w:r>
          </w:p>
          <w:p w14:paraId="4422280E" w14:textId="77777777" w:rsidR="00E62858" w:rsidRDefault="00E62858" w:rsidP="001E6EAA"/>
          <w:p w14:paraId="522F607C" w14:textId="77777777" w:rsidR="00E62858" w:rsidRPr="00E62858" w:rsidRDefault="001E6EAA" w:rsidP="00E62858">
            <w:pPr>
              <w:pStyle w:val="NoSpacing"/>
              <w:rPr>
                <w:b/>
                <w:bCs/>
              </w:rPr>
            </w:pPr>
            <w:r w:rsidRPr="00E62858">
              <w:rPr>
                <w:b/>
                <w:bCs/>
              </w:rPr>
              <w:t>Specifically:</w:t>
            </w:r>
          </w:p>
          <w:p w14:paraId="13E3BE44" w14:textId="2B2903F8" w:rsidR="00805B35" w:rsidRPr="00E62858" w:rsidRDefault="001E6EAA" w:rsidP="00E62858">
            <w:pPr>
              <w:pStyle w:val="NoSpacing"/>
            </w:pPr>
            <w:r w:rsidRPr="00EE5B14">
              <w:t xml:space="preserve">To analyze existing documentation, surveillance data, and program interventions to understand the contribution of water, social </w:t>
            </w:r>
            <w:r w:rsidR="00E62858" w:rsidRPr="00EE5B14">
              <w:t>mobilization</w:t>
            </w:r>
            <w:r w:rsidRPr="00EE5B14">
              <w:t>, and health responses in halting the cholera outbreak and to generate lessons learned for future outbreak preparedness and response.</w:t>
            </w:r>
          </w:p>
        </w:tc>
      </w:tr>
      <w:tr w:rsidR="00805B35" w14:paraId="0C956E0C" w14:textId="77777777" w:rsidTr="001E6EAA">
        <w:tc>
          <w:tcPr>
            <w:tcW w:w="10800" w:type="dxa"/>
          </w:tcPr>
          <w:p w14:paraId="291B04D7" w14:textId="299368E4" w:rsidR="00805B35" w:rsidRPr="00805B35" w:rsidRDefault="00805B35" w:rsidP="00805B35">
            <w:pPr>
              <w:spacing w:after="160" w:line="278" w:lineRule="auto"/>
              <w:rPr>
                <w:b/>
                <w:bCs/>
              </w:rPr>
            </w:pPr>
            <w:r>
              <w:t>IV.</w:t>
            </w:r>
            <w:r w:rsidRPr="00EE5B14">
              <w:rPr>
                <w:b/>
                <w:bCs/>
              </w:rPr>
              <w:t xml:space="preserve"> </w:t>
            </w:r>
            <w:r w:rsidRPr="00EE5B14">
              <w:rPr>
                <w:b/>
                <w:bCs/>
              </w:rPr>
              <w:t xml:space="preserve">Key </w:t>
            </w:r>
            <w:r w:rsidR="001E6EAA">
              <w:rPr>
                <w:b/>
                <w:bCs/>
              </w:rPr>
              <w:t>Tasks</w:t>
            </w:r>
          </w:p>
        </w:tc>
      </w:tr>
      <w:tr w:rsidR="00805B35" w14:paraId="081BF8A6" w14:textId="77777777" w:rsidTr="001E6EAA">
        <w:tc>
          <w:tcPr>
            <w:tcW w:w="10800" w:type="dxa"/>
          </w:tcPr>
          <w:p w14:paraId="322A5AB1" w14:textId="202614EA" w:rsidR="00805B35" w:rsidRPr="00EE5B14" w:rsidRDefault="00805B35" w:rsidP="001E6EAA">
            <w:pPr>
              <w:pStyle w:val="NoSpacing"/>
              <w:numPr>
                <w:ilvl w:val="0"/>
                <w:numId w:val="11"/>
              </w:numPr>
            </w:pPr>
            <w:r w:rsidRPr="00EE5B14">
              <w:t>Review and synthesize existing reports, evaluations, and surveillance data</w:t>
            </w:r>
          </w:p>
          <w:p w14:paraId="1DE610F1" w14:textId="4BC8A794" w:rsidR="00805B35" w:rsidRPr="00EE5B14" w:rsidRDefault="00805B35" w:rsidP="001E6EAA">
            <w:pPr>
              <w:pStyle w:val="NoSpacing"/>
              <w:numPr>
                <w:ilvl w:val="0"/>
                <w:numId w:val="11"/>
              </w:numPr>
            </w:pPr>
            <w:r w:rsidRPr="00EE5B14">
              <w:t xml:space="preserve">Identify and document key interventions in WASH, health services, and community </w:t>
            </w:r>
            <w:r w:rsidR="00E62858" w:rsidRPr="00EE5B14">
              <w:t>mobilization</w:t>
            </w:r>
          </w:p>
          <w:p w14:paraId="1E24C2D2" w14:textId="77777777" w:rsidR="00805B35" w:rsidRPr="00EE5B14" w:rsidRDefault="00805B35" w:rsidP="001E6EAA">
            <w:pPr>
              <w:pStyle w:val="NoSpacing"/>
              <w:numPr>
                <w:ilvl w:val="0"/>
                <w:numId w:val="11"/>
              </w:numPr>
            </w:pPr>
            <w:r w:rsidRPr="00EE5B14">
              <w:t>Analyze trends in cholera cases in relation to intervention timelines</w:t>
            </w:r>
          </w:p>
          <w:p w14:paraId="0352C0E5" w14:textId="77777777" w:rsidR="00805B35" w:rsidRPr="00EE5B14" w:rsidRDefault="00805B35" w:rsidP="001E6EAA">
            <w:pPr>
              <w:pStyle w:val="NoSpacing"/>
              <w:numPr>
                <w:ilvl w:val="0"/>
                <w:numId w:val="11"/>
              </w:numPr>
            </w:pPr>
            <w:r w:rsidRPr="00EE5B14">
              <w:t>Highlight success factors, coordination mechanisms, and challenges</w:t>
            </w:r>
          </w:p>
          <w:p w14:paraId="18BEB310" w14:textId="77777777" w:rsidR="00805B35" w:rsidRPr="00EE5B14" w:rsidRDefault="00805B35" w:rsidP="001E6EAA">
            <w:pPr>
              <w:pStyle w:val="NoSpacing"/>
              <w:numPr>
                <w:ilvl w:val="0"/>
                <w:numId w:val="11"/>
              </w:numPr>
            </w:pPr>
            <w:r w:rsidRPr="00EE5B14">
              <w:t>Draft a concise report summarizing findings and actionable recommendations</w:t>
            </w:r>
          </w:p>
          <w:p w14:paraId="55C0AA4C" w14:textId="7DC2CDA7" w:rsidR="006F7385" w:rsidRPr="001E6EAA" w:rsidRDefault="006F7385" w:rsidP="001E6EAA">
            <w:pPr>
              <w:pStyle w:val="NoSpacing"/>
              <w:numPr>
                <w:ilvl w:val="0"/>
                <w:numId w:val="11"/>
              </w:numPr>
            </w:pPr>
            <w:r w:rsidRPr="001E6EAA">
              <w:lastRenderedPageBreak/>
              <w:t>Conduct risk assessments, including disease outbreaks, to anticipate future health crises and develop contingency plans.</w:t>
            </w:r>
          </w:p>
          <w:p w14:paraId="5AEE6EC2" w14:textId="355871B6" w:rsidR="00805B35" w:rsidRPr="00EE5B14" w:rsidRDefault="006F7385" w:rsidP="001E6EAA">
            <w:pPr>
              <w:pStyle w:val="NoSpacing"/>
              <w:numPr>
                <w:ilvl w:val="0"/>
                <w:numId w:val="11"/>
              </w:numPr>
            </w:pPr>
            <w:r w:rsidRPr="001E6EAA">
              <w:t xml:space="preserve">Monitor </w:t>
            </w:r>
            <w:r w:rsidR="001E6EAA">
              <w:t>the cholera outbreak</w:t>
            </w:r>
            <w:r w:rsidRPr="001E6EAA">
              <w:t xml:space="preserve"> situations and collect data on affected populations</w:t>
            </w:r>
          </w:p>
        </w:tc>
      </w:tr>
      <w:tr w:rsidR="00805B35" w14:paraId="74445E9F" w14:textId="77777777" w:rsidTr="001E6EAA">
        <w:tc>
          <w:tcPr>
            <w:tcW w:w="10800" w:type="dxa"/>
          </w:tcPr>
          <w:p w14:paraId="30DEF406" w14:textId="70F79DC5" w:rsidR="00805B35" w:rsidRPr="001E6EAA" w:rsidRDefault="00805B35" w:rsidP="001E6EAA">
            <w:pPr>
              <w:spacing w:after="160" w:line="278" w:lineRule="auto"/>
              <w:rPr>
                <w:b/>
                <w:bCs/>
              </w:rPr>
            </w:pPr>
            <w:r>
              <w:lastRenderedPageBreak/>
              <w:t xml:space="preserve">V. </w:t>
            </w:r>
            <w:r w:rsidRPr="00EE5B14">
              <w:rPr>
                <w:b/>
                <w:bCs/>
              </w:rPr>
              <w:t>Deliverables</w:t>
            </w:r>
          </w:p>
        </w:tc>
      </w:tr>
      <w:tr w:rsidR="00805B35" w14:paraId="485548EA" w14:textId="77777777" w:rsidTr="001E6EAA">
        <w:tc>
          <w:tcPr>
            <w:tcW w:w="10800" w:type="dxa"/>
          </w:tcPr>
          <w:p w14:paraId="1C38AE65" w14:textId="77777777" w:rsidR="00805B35" w:rsidRPr="00EE5B14" w:rsidRDefault="00805B35" w:rsidP="001E6EAA">
            <w:pPr>
              <w:pStyle w:val="NoSpacing"/>
              <w:numPr>
                <w:ilvl w:val="0"/>
                <w:numId w:val="12"/>
              </w:numPr>
            </w:pPr>
            <w:r w:rsidRPr="00EE5B14">
              <w:t>Summary brief of reviewed documents and data</w:t>
            </w:r>
          </w:p>
          <w:p w14:paraId="458723B2" w14:textId="77777777" w:rsidR="00805B35" w:rsidRPr="00EE5B14" w:rsidRDefault="00805B35" w:rsidP="001E6EAA">
            <w:pPr>
              <w:pStyle w:val="NoSpacing"/>
              <w:numPr>
                <w:ilvl w:val="0"/>
                <w:numId w:val="12"/>
              </w:numPr>
            </w:pPr>
            <w:r w:rsidRPr="00EE5B14">
              <w:t>Analytical report (max. 15 pages)</w:t>
            </w:r>
          </w:p>
          <w:p w14:paraId="6C7136AF" w14:textId="77777777" w:rsidR="00805B35" w:rsidRPr="00EE5B14" w:rsidRDefault="00805B35" w:rsidP="001E6EAA">
            <w:pPr>
              <w:pStyle w:val="NoSpacing"/>
              <w:numPr>
                <w:ilvl w:val="0"/>
                <w:numId w:val="12"/>
              </w:numPr>
            </w:pPr>
            <w:r w:rsidRPr="00EE5B14">
              <w:t>PowerPoint presentation of findings and recommendations</w:t>
            </w:r>
          </w:p>
          <w:p w14:paraId="524BFDD2" w14:textId="77777777" w:rsidR="00805B35" w:rsidRDefault="00805B35" w:rsidP="00805B35">
            <w:pPr>
              <w:ind w:left="720"/>
            </w:pPr>
          </w:p>
        </w:tc>
      </w:tr>
      <w:tr w:rsidR="00805B35" w14:paraId="4B234307" w14:textId="77777777" w:rsidTr="001E6EAA">
        <w:tc>
          <w:tcPr>
            <w:tcW w:w="10800" w:type="dxa"/>
          </w:tcPr>
          <w:p w14:paraId="40FD2939" w14:textId="666C75E4" w:rsidR="00805B35" w:rsidRPr="001E6EAA" w:rsidRDefault="006F7385" w:rsidP="001E6EAA">
            <w:pPr>
              <w:spacing w:after="160" w:line="278" w:lineRule="auto"/>
              <w:rPr>
                <w:b/>
                <w:bCs/>
              </w:rPr>
            </w:pPr>
            <w:proofErr w:type="spellStart"/>
            <w:r>
              <w:rPr>
                <w:b/>
                <w:bCs/>
              </w:rPr>
              <w:t>VI.</w:t>
            </w:r>
            <w:r w:rsidRPr="00EE5B14">
              <w:rPr>
                <w:b/>
                <w:bCs/>
              </w:rPr>
              <w:t>Qualifications</w:t>
            </w:r>
            <w:proofErr w:type="spellEnd"/>
          </w:p>
        </w:tc>
      </w:tr>
      <w:tr w:rsidR="00805B35" w14:paraId="7DA59489" w14:textId="77777777" w:rsidTr="001E6EAA">
        <w:tc>
          <w:tcPr>
            <w:tcW w:w="10800" w:type="dxa"/>
          </w:tcPr>
          <w:p w14:paraId="215328CE" w14:textId="02526EE3" w:rsidR="006F7385" w:rsidRPr="00EE5B14" w:rsidRDefault="006F7385" w:rsidP="001E6EAA">
            <w:pPr>
              <w:pStyle w:val="NoSpacing"/>
              <w:numPr>
                <w:ilvl w:val="0"/>
                <w:numId w:val="13"/>
              </w:numPr>
            </w:pPr>
            <w:r w:rsidRPr="00EE5B14">
              <w:t xml:space="preserve">Enrolled in or recently completed a degree in </w:t>
            </w:r>
            <w:r w:rsidR="001E6EAA">
              <w:t xml:space="preserve">Medicine, </w:t>
            </w:r>
            <w:r w:rsidRPr="00EE5B14">
              <w:t>Public Health, Epidemiology, Global Health, or related field</w:t>
            </w:r>
          </w:p>
          <w:p w14:paraId="0E512BB3" w14:textId="77777777" w:rsidR="006F7385" w:rsidRPr="00EE5B14" w:rsidRDefault="006F7385" w:rsidP="001E6EAA">
            <w:pPr>
              <w:pStyle w:val="NoSpacing"/>
              <w:numPr>
                <w:ilvl w:val="0"/>
                <w:numId w:val="13"/>
              </w:numPr>
            </w:pPr>
            <w:r w:rsidRPr="00EE5B14">
              <w:t>Experience in literature review and basic data analysis</w:t>
            </w:r>
          </w:p>
          <w:p w14:paraId="5B0622BB" w14:textId="77777777" w:rsidR="006F7385" w:rsidRPr="00EE5B14" w:rsidRDefault="006F7385" w:rsidP="001E6EAA">
            <w:pPr>
              <w:pStyle w:val="NoSpacing"/>
              <w:numPr>
                <w:ilvl w:val="0"/>
                <w:numId w:val="13"/>
              </w:numPr>
            </w:pPr>
            <w:r w:rsidRPr="00EE5B14">
              <w:t>Familiarity with WASH and infectious disease control</w:t>
            </w:r>
          </w:p>
          <w:p w14:paraId="156F3C53" w14:textId="77777777" w:rsidR="006F7385" w:rsidRPr="00EE5B14" w:rsidRDefault="006F7385" w:rsidP="001E6EAA">
            <w:pPr>
              <w:pStyle w:val="NoSpacing"/>
              <w:numPr>
                <w:ilvl w:val="0"/>
                <w:numId w:val="13"/>
              </w:numPr>
            </w:pPr>
            <w:r w:rsidRPr="00EE5B14">
              <w:t>Strong writing and synthesis skills</w:t>
            </w:r>
          </w:p>
          <w:p w14:paraId="4A5D702F" w14:textId="2F74B25D" w:rsidR="00805B35" w:rsidRPr="00EE5B14" w:rsidRDefault="006F7385" w:rsidP="001E6EAA">
            <w:pPr>
              <w:pStyle w:val="NoSpacing"/>
              <w:numPr>
                <w:ilvl w:val="0"/>
                <w:numId w:val="13"/>
              </w:numPr>
            </w:pPr>
            <w:r w:rsidRPr="00EE5B14">
              <w:t xml:space="preserve">Proficiency in English; </w:t>
            </w:r>
          </w:p>
        </w:tc>
      </w:tr>
      <w:tr w:rsidR="006F7385" w14:paraId="6D7DBDE4" w14:textId="77777777" w:rsidTr="001E6EAA">
        <w:tc>
          <w:tcPr>
            <w:tcW w:w="10800" w:type="dxa"/>
          </w:tcPr>
          <w:p w14:paraId="7CD0B35C" w14:textId="6BD1C2B6" w:rsidR="006F7385" w:rsidRPr="001E6EAA" w:rsidRDefault="006F7385" w:rsidP="001E6EAA">
            <w:pPr>
              <w:spacing w:after="160" w:line="278" w:lineRule="auto"/>
              <w:rPr>
                <w:b/>
                <w:bCs/>
              </w:rPr>
            </w:pPr>
            <w:r>
              <w:t>VI</w:t>
            </w:r>
            <w:r w:rsidR="00E62858">
              <w:t>I</w:t>
            </w:r>
            <w:r>
              <w:t xml:space="preserve">. </w:t>
            </w:r>
            <w:r w:rsidRPr="00EE5B14">
              <w:rPr>
                <w:b/>
                <w:bCs/>
              </w:rPr>
              <w:t>Learning Opportunities</w:t>
            </w:r>
          </w:p>
        </w:tc>
      </w:tr>
      <w:tr w:rsidR="006F7385" w14:paraId="6E4245CB" w14:textId="77777777" w:rsidTr="001E6EAA">
        <w:tc>
          <w:tcPr>
            <w:tcW w:w="10800" w:type="dxa"/>
          </w:tcPr>
          <w:p w14:paraId="60FF0CF1" w14:textId="77777777" w:rsidR="006F7385" w:rsidRPr="00EE5B14" w:rsidRDefault="006F7385" w:rsidP="006F7385">
            <w:pPr>
              <w:spacing w:after="160" w:line="278" w:lineRule="auto"/>
            </w:pPr>
            <w:r w:rsidRPr="00EE5B14">
              <w:t>This internship provides hands-on experience in outbreak response evaluation, use of real-world data, and cross-sectoral public health analysis.</w:t>
            </w:r>
          </w:p>
          <w:p w14:paraId="4742F1C7" w14:textId="77777777" w:rsidR="006F7385" w:rsidRPr="00EE5B14" w:rsidRDefault="006F7385" w:rsidP="006F7385">
            <w:pPr>
              <w:ind w:left="720"/>
            </w:pPr>
          </w:p>
        </w:tc>
      </w:tr>
    </w:tbl>
    <w:p w14:paraId="2F201693" w14:textId="77777777" w:rsidR="00805B35" w:rsidRDefault="00805B35" w:rsidP="00EE5B14">
      <w:pPr>
        <w:rPr>
          <w:b/>
          <w:bCs/>
        </w:rPr>
      </w:pPr>
    </w:p>
    <w:sectPr w:rsidR="00805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C6F5A"/>
    <w:multiLevelType w:val="hybridMultilevel"/>
    <w:tmpl w:val="46D6F3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F7168"/>
    <w:multiLevelType w:val="multilevel"/>
    <w:tmpl w:val="CD46A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C6F0D"/>
    <w:multiLevelType w:val="hybridMultilevel"/>
    <w:tmpl w:val="D3700684"/>
    <w:lvl w:ilvl="0" w:tplc="2758E8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30C34"/>
    <w:multiLevelType w:val="multilevel"/>
    <w:tmpl w:val="C4B4C92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49E51A6C"/>
    <w:multiLevelType w:val="hybridMultilevel"/>
    <w:tmpl w:val="533A607A"/>
    <w:lvl w:ilvl="0" w:tplc="E9A26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23B2C"/>
    <w:multiLevelType w:val="hybridMultilevel"/>
    <w:tmpl w:val="7BE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5544D"/>
    <w:multiLevelType w:val="hybridMultilevel"/>
    <w:tmpl w:val="23D2A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51469F"/>
    <w:multiLevelType w:val="hybridMultilevel"/>
    <w:tmpl w:val="137E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F81648"/>
    <w:multiLevelType w:val="multilevel"/>
    <w:tmpl w:val="E7368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243E0A"/>
    <w:multiLevelType w:val="hybridMultilevel"/>
    <w:tmpl w:val="6C64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7E0E65"/>
    <w:multiLevelType w:val="hybridMultilevel"/>
    <w:tmpl w:val="FE5A6D9C"/>
    <w:lvl w:ilvl="0" w:tplc="5C6E3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C5FAD"/>
    <w:multiLevelType w:val="hybridMultilevel"/>
    <w:tmpl w:val="ADFA02DC"/>
    <w:lvl w:ilvl="0" w:tplc="302EC71A">
      <w:start w:val="1"/>
      <w:numFmt w:val="decimal"/>
      <w:lvlText w:val="%1."/>
      <w:lvlJc w:val="left"/>
      <w:pPr>
        <w:ind w:left="720" w:hanging="360"/>
      </w:pPr>
      <w:rPr>
        <w:rFonts w:ascii="Calibri" w:hAnsi="Calibri" w:cs="Calibri" w:hint="default"/>
        <w:b/>
        <w:color w:val="00AFEF"/>
        <w:sz w:val="22"/>
      </w:rPr>
    </w:lvl>
    <w:lvl w:ilvl="1" w:tplc="27761ED4">
      <w:numFmt w:val="bullet"/>
      <w:lvlText w:val="•"/>
      <w:lvlJc w:val="left"/>
      <w:pPr>
        <w:ind w:left="1488" w:hanging="408"/>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704118">
    <w:abstractNumId w:val="3"/>
    <w:lvlOverride w:ilvl="0"/>
    <w:lvlOverride w:ilvl="1"/>
    <w:lvlOverride w:ilvl="2"/>
    <w:lvlOverride w:ilvl="3"/>
    <w:lvlOverride w:ilvl="4"/>
    <w:lvlOverride w:ilvl="5"/>
    <w:lvlOverride w:ilvl="6"/>
    <w:lvlOverride w:ilvl="7"/>
    <w:lvlOverride w:ilvl="8"/>
  </w:num>
  <w:num w:numId="2" w16cid:durableId="780538686">
    <w:abstractNumId w:val="1"/>
    <w:lvlOverride w:ilvl="0"/>
    <w:lvlOverride w:ilvl="1"/>
    <w:lvlOverride w:ilvl="2"/>
    <w:lvlOverride w:ilvl="3"/>
    <w:lvlOverride w:ilvl="4"/>
    <w:lvlOverride w:ilvl="5"/>
    <w:lvlOverride w:ilvl="6"/>
    <w:lvlOverride w:ilvl="7"/>
    <w:lvlOverride w:ilvl="8"/>
  </w:num>
  <w:num w:numId="3" w16cid:durableId="971130576">
    <w:abstractNumId w:val="9"/>
    <w:lvlOverride w:ilvl="0"/>
    <w:lvlOverride w:ilvl="1"/>
    <w:lvlOverride w:ilvl="2"/>
    <w:lvlOverride w:ilvl="3"/>
    <w:lvlOverride w:ilvl="4"/>
    <w:lvlOverride w:ilvl="5"/>
    <w:lvlOverride w:ilvl="6"/>
    <w:lvlOverride w:ilvl="7"/>
    <w:lvlOverride w:ilvl="8"/>
  </w:num>
  <w:num w:numId="4" w16cid:durableId="679161738">
    <w:abstractNumId w:val="8"/>
  </w:num>
  <w:num w:numId="5" w16cid:durableId="407306991">
    <w:abstractNumId w:val="6"/>
  </w:num>
  <w:num w:numId="6" w16cid:durableId="1012217979">
    <w:abstractNumId w:val="0"/>
  </w:num>
  <w:num w:numId="7" w16cid:durableId="980503274">
    <w:abstractNumId w:val="12"/>
  </w:num>
  <w:num w:numId="8" w16cid:durableId="358092197">
    <w:abstractNumId w:val="11"/>
  </w:num>
  <w:num w:numId="9" w16cid:durableId="697509950">
    <w:abstractNumId w:val="2"/>
  </w:num>
  <w:num w:numId="10" w16cid:durableId="2088115110">
    <w:abstractNumId w:val="4"/>
  </w:num>
  <w:num w:numId="11" w16cid:durableId="2121335103">
    <w:abstractNumId w:val="10"/>
  </w:num>
  <w:num w:numId="12" w16cid:durableId="1810786502">
    <w:abstractNumId w:val="5"/>
  </w:num>
  <w:num w:numId="13" w16cid:durableId="1060493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14"/>
    <w:rsid w:val="00001BF7"/>
    <w:rsid w:val="000368F3"/>
    <w:rsid w:val="00044E42"/>
    <w:rsid w:val="00083D2D"/>
    <w:rsid w:val="000A15E8"/>
    <w:rsid w:val="001E6EAA"/>
    <w:rsid w:val="001F57A8"/>
    <w:rsid w:val="0022617E"/>
    <w:rsid w:val="00271004"/>
    <w:rsid w:val="00304800"/>
    <w:rsid w:val="00341D6A"/>
    <w:rsid w:val="003F4E80"/>
    <w:rsid w:val="004540E7"/>
    <w:rsid w:val="004B6DEA"/>
    <w:rsid w:val="006706A3"/>
    <w:rsid w:val="006F4C04"/>
    <w:rsid w:val="006F7385"/>
    <w:rsid w:val="00803247"/>
    <w:rsid w:val="00805B35"/>
    <w:rsid w:val="008117A2"/>
    <w:rsid w:val="008C7A35"/>
    <w:rsid w:val="0091681E"/>
    <w:rsid w:val="00920E53"/>
    <w:rsid w:val="00937F8C"/>
    <w:rsid w:val="00971371"/>
    <w:rsid w:val="00974474"/>
    <w:rsid w:val="00AF2936"/>
    <w:rsid w:val="00B160B9"/>
    <w:rsid w:val="00BA16EA"/>
    <w:rsid w:val="00BC4254"/>
    <w:rsid w:val="00BE2C43"/>
    <w:rsid w:val="00C04C75"/>
    <w:rsid w:val="00C52404"/>
    <w:rsid w:val="00C53DF1"/>
    <w:rsid w:val="00C541BF"/>
    <w:rsid w:val="00C85F7B"/>
    <w:rsid w:val="00CC1E1D"/>
    <w:rsid w:val="00E62858"/>
    <w:rsid w:val="00EE5B14"/>
    <w:rsid w:val="00F5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B165"/>
  <w15:chartTrackingRefBased/>
  <w15:docId w15:val="{01CD8096-2C04-4A6A-B513-21715C9E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E5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B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B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B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B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B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B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B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B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B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B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B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B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B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B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B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B14"/>
    <w:rPr>
      <w:rFonts w:eastAsiaTheme="majorEastAsia" w:cstheme="majorBidi"/>
      <w:color w:val="272727" w:themeColor="text1" w:themeTint="D8"/>
    </w:rPr>
  </w:style>
  <w:style w:type="paragraph" w:styleId="Title">
    <w:name w:val="Title"/>
    <w:basedOn w:val="Normal"/>
    <w:next w:val="Normal"/>
    <w:link w:val="TitleChar"/>
    <w:uiPriority w:val="10"/>
    <w:qFormat/>
    <w:rsid w:val="00EE5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B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B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B14"/>
    <w:pPr>
      <w:spacing w:before="160"/>
      <w:jc w:val="center"/>
    </w:pPr>
    <w:rPr>
      <w:i/>
      <w:iCs/>
      <w:color w:val="404040" w:themeColor="text1" w:themeTint="BF"/>
    </w:rPr>
  </w:style>
  <w:style w:type="character" w:customStyle="1" w:styleId="QuoteChar">
    <w:name w:val="Quote Char"/>
    <w:basedOn w:val="DefaultParagraphFont"/>
    <w:link w:val="Quote"/>
    <w:uiPriority w:val="29"/>
    <w:rsid w:val="00EE5B14"/>
    <w:rPr>
      <w:i/>
      <w:iCs/>
      <w:color w:val="404040" w:themeColor="text1" w:themeTint="BF"/>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EE5B14"/>
    <w:pPr>
      <w:ind w:left="720"/>
      <w:contextualSpacing/>
    </w:pPr>
  </w:style>
  <w:style w:type="character" w:styleId="IntenseEmphasis">
    <w:name w:val="Intense Emphasis"/>
    <w:basedOn w:val="DefaultParagraphFont"/>
    <w:uiPriority w:val="21"/>
    <w:qFormat/>
    <w:rsid w:val="00EE5B14"/>
    <w:rPr>
      <w:i/>
      <w:iCs/>
      <w:color w:val="0F4761" w:themeColor="accent1" w:themeShade="BF"/>
    </w:rPr>
  </w:style>
  <w:style w:type="paragraph" w:styleId="IntenseQuote">
    <w:name w:val="Intense Quote"/>
    <w:basedOn w:val="Normal"/>
    <w:next w:val="Normal"/>
    <w:link w:val="IntenseQuoteChar"/>
    <w:uiPriority w:val="30"/>
    <w:qFormat/>
    <w:rsid w:val="00EE5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B14"/>
    <w:rPr>
      <w:i/>
      <w:iCs/>
      <w:color w:val="0F4761" w:themeColor="accent1" w:themeShade="BF"/>
    </w:rPr>
  </w:style>
  <w:style w:type="character" w:styleId="IntenseReference">
    <w:name w:val="Intense Reference"/>
    <w:basedOn w:val="DefaultParagraphFont"/>
    <w:uiPriority w:val="32"/>
    <w:qFormat/>
    <w:rsid w:val="00EE5B14"/>
    <w:rPr>
      <w:b/>
      <w:bCs/>
      <w:smallCaps/>
      <w:color w:val="0F4761" w:themeColor="accent1" w:themeShade="BF"/>
      <w:spacing w:val="5"/>
    </w:rPr>
  </w:style>
  <w:style w:type="paragraph" w:styleId="NormalWeb">
    <w:name w:val="Normal (Web)"/>
    <w:basedOn w:val="Normal"/>
    <w:uiPriority w:val="99"/>
    <w:rsid w:val="00EE5B14"/>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Default">
    <w:name w:val="Default"/>
    <w:rsid w:val="00EE5B14"/>
    <w:pPr>
      <w:autoSpaceDE w:val="0"/>
      <w:autoSpaceDN w:val="0"/>
      <w:adjustRightInd w:val="0"/>
      <w:spacing w:after="0" w:line="240" w:lineRule="auto"/>
    </w:pPr>
    <w:rPr>
      <w:rFonts w:ascii="Arial" w:eastAsia="Cambria" w:hAnsi="Arial" w:cs="Arial"/>
      <w:color w:val="000000"/>
      <w:kern w:val="0"/>
      <w14:ligatures w14:val="non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EE5B14"/>
  </w:style>
  <w:style w:type="table" w:styleId="TableGrid">
    <w:name w:val="Table Grid"/>
    <w:basedOn w:val="TableNormal"/>
    <w:uiPriority w:val="39"/>
    <w:rsid w:val="0080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6E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797551">
      <w:bodyDiv w:val="1"/>
      <w:marLeft w:val="0"/>
      <w:marRight w:val="0"/>
      <w:marTop w:val="0"/>
      <w:marBottom w:val="0"/>
      <w:divBdr>
        <w:top w:val="none" w:sz="0" w:space="0" w:color="auto"/>
        <w:left w:val="none" w:sz="0" w:space="0" w:color="auto"/>
        <w:bottom w:val="none" w:sz="0" w:space="0" w:color="auto"/>
        <w:right w:val="none" w:sz="0" w:space="0" w:color="auto"/>
      </w:divBdr>
    </w:div>
    <w:div w:id="175119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Ernsly Jackson</dc:creator>
  <cp:keywords/>
  <dc:description/>
  <cp:lastModifiedBy>Ernsly Jackson</cp:lastModifiedBy>
  <cp:revision>2</cp:revision>
  <dcterms:created xsi:type="dcterms:W3CDTF">2025-07-03T05:37:00Z</dcterms:created>
  <dcterms:modified xsi:type="dcterms:W3CDTF">2025-07-03T07:10:00Z</dcterms:modified>
</cp:coreProperties>
</file>